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BC336" w14:textId="3FC50C47" w:rsidR="00474E53" w:rsidRDefault="00DC5E28" w:rsidP="00A66708">
      <w:pPr>
        <w:pStyle w:val="Title"/>
        <w:jc w:val="center"/>
      </w:pPr>
      <w:r>
        <w:t>CALL FOR PROPOSALS</w:t>
      </w:r>
    </w:p>
    <w:p w14:paraId="0574C5C8" w14:textId="6DF5C8A2" w:rsidR="00DC5E28" w:rsidRDefault="00DC5E28" w:rsidP="00A66708">
      <w:pPr>
        <w:pStyle w:val="Title"/>
        <w:jc w:val="center"/>
      </w:pPr>
      <w:r>
        <w:t>The C/URE Fellows</w:t>
      </w:r>
      <w:r w:rsidR="00A66708">
        <w:t xml:space="preserve"> Initiative</w:t>
      </w:r>
      <w:r>
        <w:t xml:space="preserve"> FY24</w:t>
      </w:r>
    </w:p>
    <w:p w14:paraId="007E3804" w14:textId="77777777" w:rsidR="00A66708" w:rsidRDefault="00A66708"/>
    <w:p w14:paraId="6D0FD003" w14:textId="77777777" w:rsidR="00C05538" w:rsidRDefault="00DC5E28">
      <w:pPr>
        <w:rPr>
          <w:b/>
          <w:bCs/>
        </w:rPr>
      </w:pPr>
      <w:r>
        <w:t xml:space="preserve">With support from a Provost Innovation Enhancement (PIE) Grant and the Office of Research and Graduate Studies, the Office of Student Research invites </w:t>
      </w:r>
      <w:r w:rsidR="00A66708">
        <w:t xml:space="preserve">faculty </w:t>
      </w:r>
      <w:r>
        <w:t xml:space="preserve">submissions for the </w:t>
      </w:r>
      <w:r w:rsidRPr="00A66708">
        <w:rPr>
          <w:b/>
          <w:bCs/>
        </w:rPr>
        <w:t>C/URE Fellows Initiative.</w:t>
      </w:r>
      <w:r w:rsidR="00C05538">
        <w:rPr>
          <w:b/>
          <w:bCs/>
        </w:rPr>
        <w:t xml:space="preserve"> </w:t>
      </w:r>
    </w:p>
    <w:p w14:paraId="5834FC17" w14:textId="56B09530" w:rsidR="00C05538" w:rsidRPr="00A66708" w:rsidRDefault="00C05538">
      <w:pPr>
        <w:rPr>
          <w:b/>
          <w:bCs/>
        </w:rPr>
      </w:pPr>
      <w:r>
        <w:rPr>
          <w:b/>
          <w:bCs/>
        </w:rPr>
        <w:t>Deadline for Spring</w:t>
      </w:r>
      <w:r w:rsidR="0009463B">
        <w:rPr>
          <w:b/>
          <w:bCs/>
        </w:rPr>
        <w:t>/Summer</w:t>
      </w:r>
      <w:r>
        <w:rPr>
          <w:b/>
          <w:bCs/>
        </w:rPr>
        <w:t xml:space="preserve"> 2024 proposals (for projects taking place Jan 15-Jun 15) is Dec 1, 2023</w:t>
      </w:r>
    </w:p>
    <w:p w14:paraId="76528A63" w14:textId="1C0EC6D3" w:rsidR="00A66708" w:rsidRDefault="00A66708" w:rsidP="00A66708">
      <w:pPr>
        <w:pStyle w:val="Heading1"/>
      </w:pPr>
      <w:r>
        <w:t>Purpose</w:t>
      </w:r>
    </w:p>
    <w:p w14:paraId="5EF1F0CA" w14:textId="34F8D45A" w:rsidR="00DC5E28" w:rsidRDefault="00DC5E28" w:rsidP="00DC5E28">
      <w:r>
        <w:t>The purpose of the C/URE Fellows Initiative is to incentivize the creation of</w:t>
      </w:r>
      <w:r w:rsidR="005835C2" w:rsidRPr="00691AFC">
        <w:t xml:space="preserve"> </w:t>
      </w:r>
      <w:r w:rsidR="001F24D3" w:rsidRPr="00691AFC">
        <w:t>new</w:t>
      </w:r>
      <w:r>
        <w:t xml:space="preserve"> undergraduate research experiences (UREs) that target </w:t>
      </w:r>
      <w:r w:rsidR="00A66708">
        <w:t>first or second-year undergraduate</w:t>
      </w:r>
      <w:r>
        <w:t xml:space="preserve"> students and students from historically under-represented groups.  </w:t>
      </w:r>
    </w:p>
    <w:p w14:paraId="3A409AC4" w14:textId="1D59B762" w:rsidR="00A66708" w:rsidRDefault="00A66708" w:rsidP="00A66708">
      <w:pPr>
        <w:pStyle w:val="Heading1"/>
      </w:pPr>
      <w:r>
        <w:t>Background</w:t>
      </w:r>
    </w:p>
    <w:p w14:paraId="553AB732" w14:textId="03E7CB10" w:rsidR="00A66708" w:rsidRDefault="00A66708" w:rsidP="00A66708">
      <w:r>
        <w:t>Undergraduate research is widely recognized as a high-impact pedagogical practice with positive outcomes for student personal and professional development and academic success (</w:t>
      </w:r>
      <w:proofErr w:type="spellStart"/>
      <w:r>
        <w:t>Kuh</w:t>
      </w:r>
      <w:proofErr w:type="spellEnd"/>
      <w:r>
        <w:t xml:space="preserve"> 2008, </w:t>
      </w:r>
      <w:proofErr w:type="spellStart"/>
      <w:r>
        <w:t>Lopatto</w:t>
      </w:r>
      <w:proofErr w:type="spellEnd"/>
      <w:r>
        <w:t xml:space="preserve"> 2010). The institutional impact of undergraduate research experiences (UREs) is often limited because they involve relatively few students who undertake UREs later in their academic careers (as juniors and seniors) when they have already demonstrated high academic performance. Evidence suggests that early UREs may be more beneficial for student success than later experiences (</w:t>
      </w:r>
      <w:proofErr w:type="spellStart"/>
      <w:r>
        <w:t>Thiry</w:t>
      </w:r>
      <w:proofErr w:type="spellEnd"/>
      <w:r>
        <w:t xml:space="preserve"> et al 2012) and especially impactful for students from underserved populations (Chan et al 2018; Bhattacharyya and Chan 2021). First and second year undergraduates, however, may be reticent to seek out research experiences because they have uncertain career goals, lack confidence in their abilities, or do not see themselves as scientists. We can increase the diversity of students who engage in research by embedding UREs into lower-level courses</w:t>
      </w:r>
      <w:r w:rsidR="00315D21">
        <w:t>.</w:t>
      </w:r>
    </w:p>
    <w:p w14:paraId="258D7C46" w14:textId="1461CD41" w:rsidR="00AC388A" w:rsidRDefault="00A66708" w:rsidP="00AA7BCA">
      <w:pPr>
        <w:pStyle w:val="NoSpacing"/>
        <w:rPr>
          <w:color w:val="202124"/>
          <w:shd w:val="clear" w:color="auto" w:fill="FFFFFF"/>
        </w:rPr>
      </w:pPr>
      <w:r>
        <w:t>Models for the inclusion of research at lower levels include research modules embedded into introductory lab or lecture courses</w:t>
      </w:r>
      <w:r w:rsidR="0022577E">
        <w:t xml:space="preserve"> </w:t>
      </w:r>
      <w:r w:rsidR="0075142E">
        <w:t>and</w:t>
      </w:r>
      <w:r>
        <w:t xml:space="preserve"> course-based undergraduate research experiences</w:t>
      </w:r>
      <w:r w:rsidRPr="6AF8373E">
        <w:rPr>
          <w:i/>
          <w:iCs/>
        </w:rPr>
        <w:t xml:space="preserve"> </w:t>
      </w:r>
      <w:r>
        <w:t>(CUREs) (</w:t>
      </w:r>
      <w:proofErr w:type="spellStart"/>
      <w:r>
        <w:t>Buffalari</w:t>
      </w:r>
      <w:proofErr w:type="spellEnd"/>
      <w:r>
        <w:t xml:space="preserve"> et al 2020). </w:t>
      </w:r>
      <w:r w:rsidR="00AC388A">
        <w:t xml:space="preserve">Unlike </w:t>
      </w:r>
      <w:r w:rsidR="00C7471E">
        <w:t>traditional lab exercises</w:t>
      </w:r>
      <w:r w:rsidR="00AA7BCA">
        <w:t xml:space="preserve"> or classroom assignments with known or expected results</w:t>
      </w:r>
      <w:r w:rsidR="00C7471E" w:rsidRPr="00C7471E">
        <w:t xml:space="preserve">, </w:t>
      </w:r>
      <w:r w:rsidR="00C7471E" w:rsidRPr="00C7471E">
        <w:rPr>
          <w:color w:val="202124"/>
          <w:shd w:val="clear" w:color="auto" w:fill="FFFFFF"/>
        </w:rPr>
        <w:t>CUREs are </w:t>
      </w:r>
      <w:r w:rsidR="00C7471E" w:rsidRPr="00C7471E">
        <w:t>learning experiences in which whole classes of students address a research question or problem with unknown outcomes or solutions that are of interest to the scientific</w:t>
      </w:r>
      <w:r w:rsidR="00AA7BCA">
        <w:t>/scholarly</w:t>
      </w:r>
      <w:r w:rsidR="00C7471E" w:rsidRPr="00C7471E">
        <w:t xml:space="preserve"> community</w:t>
      </w:r>
      <w:r w:rsidR="007D1F77">
        <w:rPr>
          <w:color w:val="202124"/>
          <w:shd w:val="clear" w:color="auto" w:fill="FFFFFF"/>
        </w:rPr>
        <w:t xml:space="preserve"> (For more information, see</w:t>
      </w:r>
      <w:r w:rsidR="00D21F59">
        <w:rPr>
          <w:color w:val="202124"/>
          <w:shd w:val="clear" w:color="auto" w:fill="FFFFFF"/>
        </w:rPr>
        <w:t xml:space="preserve"> “</w:t>
      </w:r>
      <w:hyperlink r:id="rId5" w:history="1">
        <w:r w:rsidR="00D21F59" w:rsidRPr="002503EA">
          <w:rPr>
            <w:rStyle w:val="Hyperlink"/>
            <w:shd w:val="clear" w:color="auto" w:fill="FFFFFF"/>
          </w:rPr>
          <w:t>CUREs: Bringing Research into the Classroom</w:t>
        </w:r>
      </w:hyperlink>
      <w:r w:rsidR="00D21F59">
        <w:rPr>
          <w:color w:val="202124"/>
          <w:shd w:val="clear" w:color="auto" w:fill="FFFFFF"/>
        </w:rPr>
        <w:t>”)</w:t>
      </w:r>
      <w:r w:rsidR="00607B3E">
        <w:rPr>
          <w:color w:val="202124"/>
          <w:shd w:val="clear" w:color="auto" w:fill="FFFFFF"/>
        </w:rPr>
        <w:t xml:space="preserve">. </w:t>
      </w:r>
      <w:r w:rsidR="006A6B01">
        <w:rPr>
          <w:color w:val="202124"/>
          <w:shd w:val="clear" w:color="auto" w:fill="FFFFFF"/>
        </w:rPr>
        <w:t xml:space="preserve">Although the term “CURE” is often associated with </w:t>
      </w:r>
      <w:r w:rsidR="004D520C">
        <w:rPr>
          <w:color w:val="202124"/>
          <w:shd w:val="clear" w:color="auto" w:fill="FFFFFF"/>
        </w:rPr>
        <w:t xml:space="preserve">the sciences, </w:t>
      </w:r>
      <w:r w:rsidR="007A4A78">
        <w:rPr>
          <w:color w:val="202124"/>
          <w:shd w:val="clear" w:color="auto" w:fill="FFFFFF"/>
        </w:rPr>
        <w:t>many examples exist in the social sciences and humanities (See Hensel et al</w:t>
      </w:r>
      <w:r w:rsidR="004E26FD">
        <w:rPr>
          <w:color w:val="202124"/>
          <w:shd w:val="clear" w:color="auto" w:fill="FFFFFF"/>
        </w:rPr>
        <w:t>. 2018)</w:t>
      </w:r>
    </w:p>
    <w:p w14:paraId="0540A7FF" w14:textId="77777777" w:rsidR="00C47A11" w:rsidRDefault="00C47A11" w:rsidP="00AA7BCA">
      <w:pPr>
        <w:pStyle w:val="NoSpacing"/>
        <w:rPr>
          <w:color w:val="202124"/>
          <w:shd w:val="clear" w:color="auto" w:fill="FFFFFF"/>
        </w:rPr>
      </w:pPr>
    </w:p>
    <w:p w14:paraId="7F268D88" w14:textId="4FD23F1B" w:rsidR="00C47A11" w:rsidRDefault="00C47A11" w:rsidP="00AA7BCA">
      <w:pPr>
        <w:pStyle w:val="NoSpacing"/>
        <w:rPr>
          <w:color w:val="202124"/>
          <w:shd w:val="clear" w:color="auto" w:fill="FFFFFF"/>
        </w:rPr>
      </w:pPr>
      <w:r>
        <w:rPr>
          <w:color w:val="202124"/>
          <w:shd w:val="clear" w:color="auto" w:fill="FFFFFF"/>
        </w:rPr>
        <w:t>Examples of possible C/URE Fellow</w:t>
      </w:r>
      <w:r w:rsidR="00A958CC">
        <w:rPr>
          <w:color w:val="202124"/>
          <w:shd w:val="clear" w:color="auto" w:fill="FFFFFF"/>
        </w:rPr>
        <w:t xml:space="preserve"> projects include:</w:t>
      </w:r>
    </w:p>
    <w:p w14:paraId="5813F785" w14:textId="5DCB21AC" w:rsidR="00A958CC" w:rsidRDefault="009B7FB6" w:rsidP="00A958CC">
      <w:pPr>
        <w:pStyle w:val="NoSpacing"/>
        <w:numPr>
          <w:ilvl w:val="0"/>
          <w:numId w:val="2"/>
        </w:numPr>
        <w:rPr>
          <w:color w:val="202124"/>
          <w:shd w:val="clear" w:color="auto" w:fill="FFFFFF"/>
        </w:rPr>
      </w:pPr>
      <w:r>
        <w:rPr>
          <w:color w:val="202124"/>
          <w:shd w:val="clear" w:color="auto" w:fill="FFFFFF"/>
        </w:rPr>
        <w:t xml:space="preserve">Creating </w:t>
      </w:r>
      <w:r w:rsidR="00B07581">
        <w:rPr>
          <w:color w:val="202124"/>
          <w:shd w:val="clear" w:color="auto" w:fill="FFFFFF"/>
        </w:rPr>
        <w:t xml:space="preserve">a CURE </w:t>
      </w:r>
      <w:r>
        <w:rPr>
          <w:color w:val="202124"/>
          <w:shd w:val="clear" w:color="auto" w:fill="FFFFFF"/>
        </w:rPr>
        <w:t>or participating</w:t>
      </w:r>
      <w:r w:rsidR="00B07581">
        <w:rPr>
          <w:color w:val="202124"/>
          <w:shd w:val="clear" w:color="auto" w:fill="FFFFFF"/>
        </w:rPr>
        <w:t xml:space="preserve"> for the first time in</w:t>
      </w:r>
      <w:r>
        <w:rPr>
          <w:color w:val="202124"/>
          <w:shd w:val="clear" w:color="auto" w:fill="FFFFFF"/>
        </w:rPr>
        <w:t xml:space="preserve"> an established</w:t>
      </w:r>
      <w:r w:rsidR="00A958CC">
        <w:rPr>
          <w:color w:val="202124"/>
          <w:shd w:val="clear" w:color="auto" w:fill="FFFFFF"/>
        </w:rPr>
        <w:t xml:space="preserve"> </w:t>
      </w:r>
      <w:r w:rsidR="009A09AA">
        <w:rPr>
          <w:color w:val="202124"/>
          <w:shd w:val="clear" w:color="auto" w:fill="FFFFFF"/>
        </w:rPr>
        <w:t xml:space="preserve">nationwide </w:t>
      </w:r>
      <w:r w:rsidR="00A958CC">
        <w:rPr>
          <w:color w:val="202124"/>
          <w:shd w:val="clear" w:color="auto" w:fill="FFFFFF"/>
        </w:rPr>
        <w:t>CURE</w:t>
      </w:r>
      <w:r w:rsidR="009A09AA">
        <w:rPr>
          <w:color w:val="202124"/>
          <w:shd w:val="clear" w:color="auto" w:fill="FFFFFF"/>
        </w:rPr>
        <w:t xml:space="preserve"> (see </w:t>
      </w:r>
      <w:hyperlink r:id="rId6" w:history="1">
        <w:proofErr w:type="spellStart"/>
        <w:r w:rsidR="009A09AA" w:rsidRPr="000E5CFF">
          <w:rPr>
            <w:rStyle w:val="Hyperlink"/>
            <w:shd w:val="clear" w:color="auto" w:fill="FFFFFF"/>
          </w:rPr>
          <w:t>CURE</w:t>
        </w:r>
        <w:r w:rsidR="000E5CFF" w:rsidRPr="000E5CFF">
          <w:rPr>
            <w:rStyle w:val="Hyperlink"/>
            <w:shd w:val="clear" w:color="auto" w:fill="FFFFFF"/>
          </w:rPr>
          <w:t>n</w:t>
        </w:r>
        <w:r w:rsidR="009A09AA" w:rsidRPr="000E5CFF">
          <w:rPr>
            <w:rStyle w:val="Hyperlink"/>
            <w:shd w:val="clear" w:color="auto" w:fill="FFFFFF"/>
          </w:rPr>
          <w:t>et</w:t>
        </w:r>
        <w:proofErr w:type="spellEnd"/>
      </w:hyperlink>
      <w:r w:rsidR="000E5CFF">
        <w:rPr>
          <w:color w:val="202124"/>
          <w:shd w:val="clear" w:color="auto" w:fill="FFFFFF"/>
        </w:rPr>
        <w:t xml:space="preserve"> for a list of existing CUREs)</w:t>
      </w:r>
      <w:r w:rsidR="0089058F">
        <w:rPr>
          <w:color w:val="202124"/>
          <w:shd w:val="clear" w:color="auto" w:fill="FFFFFF"/>
        </w:rPr>
        <w:t>,</w:t>
      </w:r>
    </w:p>
    <w:p w14:paraId="3E8306B9" w14:textId="180FF5FE" w:rsidR="00B07581" w:rsidRDefault="00B07581" w:rsidP="00A958CC">
      <w:pPr>
        <w:pStyle w:val="NoSpacing"/>
        <w:numPr>
          <w:ilvl w:val="0"/>
          <w:numId w:val="2"/>
        </w:numPr>
        <w:rPr>
          <w:color w:val="202124"/>
          <w:shd w:val="clear" w:color="auto" w:fill="FFFFFF"/>
        </w:rPr>
      </w:pPr>
      <w:r>
        <w:rPr>
          <w:color w:val="202124"/>
          <w:shd w:val="clear" w:color="auto" w:fill="FFFFFF"/>
        </w:rPr>
        <w:t>Creating a research-based</w:t>
      </w:r>
      <w:r w:rsidR="009E03D0">
        <w:rPr>
          <w:color w:val="202124"/>
          <w:shd w:val="clear" w:color="auto" w:fill="FFFFFF"/>
        </w:rPr>
        <w:t xml:space="preserve"> lab section for a large section course</w:t>
      </w:r>
      <w:r w:rsidR="0089058F">
        <w:rPr>
          <w:color w:val="202124"/>
          <w:shd w:val="clear" w:color="auto" w:fill="FFFFFF"/>
        </w:rPr>
        <w:t>,</w:t>
      </w:r>
    </w:p>
    <w:p w14:paraId="41A747F4" w14:textId="518247C8" w:rsidR="00FA55DE" w:rsidRDefault="00C379B8" w:rsidP="00FA55DE">
      <w:pPr>
        <w:pStyle w:val="NoSpacing"/>
        <w:numPr>
          <w:ilvl w:val="0"/>
          <w:numId w:val="2"/>
        </w:numPr>
        <w:rPr>
          <w:color w:val="202124"/>
          <w:shd w:val="clear" w:color="auto" w:fill="FFFFFF"/>
        </w:rPr>
      </w:pPr>
      <w:r>
        <w:rPr>
          <w:color w:val="202124"/>
          <w:shd w:val="clear" w:color="auto" w:fill="FFFFFF"/>
        </w:rPr>
        <w:t>Creating a research-based student project for a</w:t>
      </w:r>
      <w:r w:rsidR="0022577E">
        <w:rPr>
          <w:color w:val="202124"/>
          <w:shd w:val="clear" w:color="auto" w:fill="FFFFFF"/>
        </w:rPr>
        <w:t xml:space="preserve"> </w:t>
      </w:r>
      <w:r w:rsidR="0022577E" w:rsidRPr="00F61EB2">
        <w:rPr>
          <w:b/>
          <w:bCs/>
          <w:color w:val="202124"/>
          <w:highlight w:val="yellow"/>
          <w:shd w:val="clear" w:color="auto" w:fill="FFFFFF"/>
        </w:rPr>
        <w:t>large</w:t>
      </w:r>
      <w:r w:rsidR="00F61EB2" w:rsidRPr="00F61EB2">
        <w:rPr>
          <w:b/>
          <w:bCs/>
          <w:color w:val="202124"/>
          <w:highlight w:val="yellow"/>
          <w:shd w:val="clear" w:color="auto" w:fill="FFFFFF"/>
        </w:rPr>
        <w:t xml:space="preserve"> (6+)</w:t>
      </w:r>
      <w:r>
        <w:rPr>
          <w:color w:val="202124"/>
          <w:shd w:val="clear" w:color="auto" w:fill="FFFFFF"/>
        </w:rPr>
        <w:t xml:space="preserve"> team of students</w:t>
      </w:r>
      <w:r w:rsidR="0089058F">
        <w:rPr>
          <w:color w:val="202124"/>
          <w:shd w:val="clear" w:color="auto" w:fill="FFFFFF"/>
        </w:rPr>
        <w:t>,</w:t>
      </w:r>
    </w:p>
    <w:p w14:paraId="7546236A" w14:textId="6FA1EE12" w:rsidR="00FA55DE" w:rsidRPr="00FA55DE" w:rsidRDefault="000902C3" w:rsidP="00FA55DE">
      <w:pPr>
        <w:pStyle w:val="NoSpacing"/>
        <w:ind w:left="45"/>
        <w:rPr>
          <w:color w:val="202124"/>
          <w:shd w:val="clear" w:color="auto" w:fill="FFFFFF"/>
        </w:rPr>
      </w:pPr>
      <w:r>
        <w:rPr>
          <w:color w:val="202124"/>
          <w:shd w:val="clear" w:color="auto" w:fill="FFFFFF"/>
        </w:rPr>
        <w:t>The C/URE initiative should b</w:t>
      </w:r>
      <w:r w:rsidR="00C57D97">
        <w:rPr>
          <w:color w:val="202124"/>
          <w:shd w:val="clear" w:color="auto" w:fill="FFFFFF"/>
        </w:rPr>
        <w:t xml:space="preserve">e devised to include </w:t>
      </w:r>
      <w:r w:rsidR="00C2092D">
        <w:rPr>
          <w:color w:val="202124"/>
          <w:shd w:val="clear" w:color="auto" w:fill="FFFFFF"/>
        </w:rPr>
        <w:t>first- and second-year</w:t>
      </w:r>
      <w:r w:rsidR="00C57D97">
        <w:rPr>
          <w:color w:val="202124"/>
          <w:shd w:val="clear" w:color="auto" w:fill="FFFFFF"/>
        </w:rPr>
        <w:t xml:space="preserve"> </w:t>
      </w:r>
      <w:r w:rsidR="00CD19F2">
        <w:rPr>
          <w:color w:val="202124"/>
          <w:shd w:val="clear" w:color="auto" w:fill="FFFFFF"/>
        </w:rPr>
        <w:t xml:space="preserve">students </w:t>
      </w:r>
      <w:r w:rsidR="00F9059D">
        <w:rPr>
          <w:color w:val="202124"/>
          <w:shd w:val="clear" w:color="auto" w:fill="FFFFFF"/>
        </w:rPr>
        <w:t>or</w:t>
      </w:r>
      <w:r w:rsidR="00CD19F2">
        <w:rPr>
          <w:color w:val="202124"/>
          <w:shd w:val="clear" w:color="auto" w:fill="FFFFFF"/>
        </w:rPr>
        <w:t xml:space="preserve"> </w:t>
      </w:r>
      <w:r w:rsidR="00BF69A3">
        <w:rPr>
          <w:color w:val="202124"/>
          <w:shd w:val="clear" w:color="auto" w:fill="FFFFFF"/>
        </w:rPr>
        <w:t>students from underrepresented groups</w:t>
      </w:r>
      <w:r w:rsidR="007972C6">
        <w:rPr>
          <w:color w:val="202124"/>
          <w:shd w:val="clear" w:color="auto" w:fill="FFFFFF"/>
        </w:rPr>
        <w:t>.</w:t>
      </w:r>
    </w:p>
    <w:p w14:paraId="781982C0" w14:textId="77777777" w:rsidR="00AA7BCA" w:rsidRDefault="00AA7BCA" w:rsidP="00AA7BCA">
      <w:pPr>
        <w:pStyle w:val="NoSpacing"/>
      </w:pPr>
    </w:p>
    <w:p w14:paraId="4892DACC" w14:textId="0038FEA4" w:rsidR="00A66708" w:rsidRDefault="00A66708" w:rsidP="00A66708">
      <w:r>
        <w:lastRenderedPageBreak/>
        <w:t>UREs rely heavily on the involvement of faculty. Offering C/UREs to students with little or no prior research experience is especially challenging.  The C/URE Fellows Initiative recognizes the need to incentivize and support both students and faculty to engage in C/UREs.</w:t>
      </w:r>
    </w:p>
    <w:p w14:paraId="44E09196" w14:textId="53463D5C" w:rsidR="00A66708" w:rsidRDefault="00A66708" w:rsidP="00A66708">
      <w:r>
        <w:t xml:space="preserve">The C/URE Fellow initiative </w:t>
      </w:r>
      <w:r w:rsidR="006C3B22">
        <w:t>will provide faculty with up to $</w:t>
      </w:r>
      <w:r w:rsidR="00C2092D">
        <w:t>7</w:t>
      </w:r>
      <w:r w:rsidR="006C3B22">
        <w:t xml:space="preserve">000 </w:t>
      </w:r>
      <w:r>
        <w:t xml:space="preserve">to hire </w:t>
      </w:r>
      <w:r w:rsidR="006C3B22">
        <w:t xml:space="preserve">undergraduate </w:t>
      </w:r>
      <w:r>
        <w:t xml:space="preserve">student researchers, hire a GA to assist with the additional labor involved in offering a C/URE, or purchase supplies or materials needed to engage student researchers. </w:t>
      </w:r>
    </w:p>
    <w:p w14:paraId="15DCDDEE" w14:textId="72BF6540" w:rsidR="00A66708" w:rsidRPr="00FB6D74" w:rsidRDefault="006C3B22" w:rsidP="006C3B22">
      <w:pPr>
        <w:pStyle w:val="Heading1"/>
      </w:pPr>
      <w:r>
        <w:t>Funding</w:t>
      </w:r>
    </w:p>
    <w:p w14:paraId="3681BE52" w14:textId="36B6C441" w:rsidR="00A66708" w:rsidRDefault="00A66708" w:rsidP="00A66708">
      <w:r>
        <w:t>C/URE faculty fellows</w:t>
      </w:r>
      <w:r w:rsidR="006C3B22">
        <w:t xml:space="preserve"> will receive funds of up to $</w:t>
      </w:r>
      <w:r w:rsidR="00C2092D">
        <w:t>7</w:t>
      </w:r>
      <w:r w:rsidR="00C05538">
        <w:t>0</w:t>
      </w:r>
      <w:r w:rsidR="006C3B22">
        <w:t>00 that may be used in the following ways:</w:t>
      </w:r>
      <w:r>
        <w:t xml:space="preserve"> </w:t>
      </w:r>
    </w:p>
    <w:p w14:paraId="2A6F1CAB" w14:textId="49DABA53" w:rsidR="00A66708" w:rsidRDefault="00A66708" w:rsidP="00A66708">
      <w:pPr>
        <w:pStyle w:val="ListParagraph"/>
        <w:numPr>
          <w:ilvl w:val="0"/>
          <w:numId w:val="1"/>
        </w:numPr>
      </w:pPr>
      <w:r>
        <w:t>A modest faculty stipend for developing and offering the C/URE (</w:t>
      </w:r>
      <w:r w:rsidR="006C3B22">
        <w:t xml:space="preserve">up to </w:t>
      </w:r>
      <w:r>
        <w:t>$1000</w:t>
      </w:r>
      <w:r w:rsidR="006C3B22">
        <w:t>)</w:t>
      </w:r>
    </w:p>
    <w:p w14:paraId="03AB8D8A" w14:textId="4237DA73" w:rsidR="00A66708" w:rsidRDefault="00A66708" w:rsidP="00A66708">
      <w:pPr>
        <w:pStyle w:val="ListParagraph"/>
        <w:numPr>
          <w:ilvl w:val="0"/>
          <w:numId w:val="1"/>
        </w:numPr>
      </w:pPr>
      <w:r>
        <w:t xml:space="preserve">Project funds </w:t>
      </w:r>
      <w:r w:rsidR="006C3B22">
        <w:t>(up to $</w:t>
      </w:r>
      <w:r w:rsidR="00C2092D">
        <w:t>6</w:t>
      </w:r>
      <w:r w:rsidR="006C3B22">
        <w:t xml:space="preserve">000) </w:t>
      </w:r>
      <w:r>
        <w:t>that can be used to</w:t>
      </w:r>
      <w:r w:rsidR="006C3B22">
        <w:t>:</w:t>
      </w:r>
    </w:p>
    <w:p w14:paraId="67618A32" w14:textId="73A37A77" w:rsidR="00A66708" w:rsidRDefault="006C3B22" w:rsidP="00A66708">
      <w:pPr>
        <w:pStyle w:val="ListParagraph"/>
        <w:numPr>
          <w:ilvl w:val="1"/>
          <w:numId w:val="1"/>
        </w:numPr>
      </w:pPr>
      <w:r>
        <w:t>H</w:t>
      </w:r>
      <w:r w:rsidR="00A66708">
        <w:t>ire undergraduate student researchers</w:t>
      </w:r>
    </w:p>
    <w:p w14:paraId="23FFA0AB" w14:textId="0ED35BBE" w:rsidR="00A66708" w:rsidRDefault="00A66708" w:rsidP="00A66708">
      <w:pPr>
        <w:pStyle w:val="ListParagraph"/>
        <w:numPr>
          <w:ilvl w:val="1"/>
          <w:numId w:val="1"/>
        </w:numPr>
      </w:pPr>
      <w:r>
        <w:t xml:space="preserve">Hire a </w:t>
      </w:r>
      <w:r w:rsidR="006C3B22">
        <w:t xml:space="preserve">.25FTE </w:t>
      </w:r>
      <w:r>
        <w:t>graduate assistant to lead/assist with a C/URE</w:t>
      </w:r>
    </w:p>
    <w:p w14:paraId="20C3874E" w14:textId="77777777" w:rsidR="00A66708" w:rsidRDefault="00A66708" w:rsidP="00A66708">
      <w:pPr>
        <w:pStyle w:val="ListParagraph"/>
        <w:numPr>
          <w:ilvl w:val="1"/>
          <w:numId w:val="1"/>
        </w:numPr>
      </w:pPr>
      <w:r>
        <w:t>Pay for materials directly related to undergraduate research</w:t>
      </w:r>
    </w:p>
    <w:p w14:paraId="283658F9" w14:textId="580BF78A" w:rsidR="00687789" w:rsidRDefault="00E62D8A" w:rsidP="00E62D8A">
      <w:r>
        <w:t>Funds must be spent in FY24 (</w:t>
      </w:r>
      <w:r w:rsidR="00916BAE">
        <w:t>before</w:t>
      </w:r>
      <w:r>
        <w:t xml:space="preserve"> Jun 30, </w:t>
      </w:r>
      <w:r w:rsidR="00916BAE">
        <w:t>2024).</w:t>
      </w:r>
    </w:p>
    <w:p w14:paraId="63C80715" w14:textId="60D7130A" w:rsidR="00F17E70" w:rsidRDefault="00F17E70" w:rsidP="00F17E70">
      <w:pPr>
        <w:pStyle w:val="Heading1"/>
      </w:pPr>
      <w:r>
        <w:t>Proposal</w:t>
      </w:r>
      <w:r w:rsidR="006F3ACC">
        <w:t xml:space="preserve"> Requirements</w:t>
      </w:r>
    </w:p>
    <w:p w14:paraId="3D4E415F" w14:textId="6C093F24" w:rsidR="006F3ACC" w:rsidRDefault="00D92A64" w:rsidP="006F3ACC">
      <w:r>
        <w:t>Proposals must include:</w:t>
      </w:r>
    </w:p>
    <w:p w14:paraId="77BC60F4" w14:textId="5D499EC3" w:rsidR="007E3537" w:rsidRDefault="00D92A64" w:rsidP="00D92A64">
      <w:pPr>
        <w:pStyle w:val="ListParagraph"/>
        <w:numPr>
          <w:ilvl w:val="0"/>
          <w:numId w:val="1"/>
        </w:numPr>
      </w:pPr>
      <w:r>
        <w:t xml:space="preserve">A </w:t>
      </w:r>
      <w:r w:rsidR="007E3537">
        <w:t xml:space="preserve">brief </w:t>
      </w:r>
      <w:r w:rsidR="00320706">
        <w:t xml:space="preserve">description of the research </w:t>
      </w:r>
      <w:r w:rsidR="00090ACE">
        <w:t>question or project</w:t>
      </w:r>
      <w:r w:rsidR="00FF68EC">
        <w:t xml:space="preserve"> (2 pages maximum)</w:t>
      </w:r>
      <w:r w:rsidR="00AD4D57">
        <w:t xml:space="preserve"> </w:t>
      </w:r>
      <w:r w:rsidR="007E3537">
        <w:t>including</w:t>
      </w:r>
      <w:r w:rsidR="005806E9">
        <w:t>:</w:t>
      </w:r>
    </w:p>
    <w:p w14:paraId="1DBE5CC6" w14:textId="6FF1DBF5" w:rsidR="005806E9" w:rsidRDefault="005806E9" w:rsidP="005806E9">
      <w:pPr>
        <w:pStyle w:val="ListParagraph"/>
        <w:numPr>
          <w:ilvl w:val="1"/>
          <w:numId w:val="1"/>
        </w:numPr>
      </w:pPr>
      <w:r>
        <w:t xml:space="preserve">How the URE will </w:t>
      </w:r>
      <w:r w:rsidR="00C35246">
        <w:t xml:space="preserve">adds to </w:t>
      </w:r>
      <w:r w:rsidR="002D7D60">
        <w:t>a</w:t>
      </w:r>
      <w:r w:rsidR="00C35246">
        <w:t xml:space="preserve"> </w:t>
      </w:r>
      <w:r w:rsidR="002D7D60">
        <w:t>program’s</w:t>
      </w:r>
      <w:r w:rsidR="00C35246">
        <w:t xml:space="preserve"> </w:t>
      </w:r>
      <w:r w:rsidR="000B249F">
        <w:t>curriculum</w:t>
      </w:r>
      <w:r w:rsidR="002D7D60">
        <w:t xml:space="preserve"> (</w:t>
      </w:r>
      <w:proofErr w:type="gramStart"/>
      <w:r w:rsidR="000B249F">
        <w:t>i.e.</w:t>
      </w:r>
      <w:proofErr w:type="gramEnd"/>
      <w:r w:rsidR="002D7D60">
        <w:t xml:space="preserve"> </w:t>
      </w:r>
      <w:r w:rsidR="0000489D">
        <w:t>how does the proposed program add on to current research offer</w:t>
      </w:r>
      <w:r w:rsidR="000B249F">
        <w:t>ings)</w:t>
      </w:r>
      <w:r>
        <w:t xml:space="preserve"> </w:t>
      </w:r>
    </w:p>
    <w:p w14:paraId="0A5C2291" w14:textId="1D87BEC7" w:rsidR="007E3537" w:rsidRDefault="00FF68EC" w:rsidP="007E3537">
      <w:pPr>
        <w:pStyle w:val="ListParagraph"/>
        <w:numPr>
          <w:ilvl w:val="1"/>
          <w:numId w:val="1"/>
        </w:numPr>
      </w:pPr>
      <w:r>
        <w:t>H</w:t>
      </w:r>
      <w:r w:rsidR="00AD4D57">
        <w:t xml:space="preserve">ow </w:t>
      </w:r>
      <w:r w:rsidR="009A4683">
        <w:t>the URE</w:t>
      </w:r>
      <w:r w:rsidR="00AD4D57">
        <w:t xml:space="preserve"> will be scaffolded to </w:t>
      </w:r>
      <w:r w:rsidR="00073311">
        <w:t>allow participation by novice researchers</w:t>
      </w:r>
      <w:r w:rsidR="00BD114B">
        <w:t>,</w:t>
      </w:r>
    </w:p>
    <w:p w14:paraId="50288AE8" w14:textId="3C9CB7F4" w:rsidR="00D92A64" w:rsidRDefault="00FF68EC" w:rsidP="007E3537">
      <w:pPr>
        <w:pStyle w:val="ListParagraph"/>
        <w:numPr>
          <w:ilvl w:val="1"/>
          <w:numId w:val="1"/>
        </w:numPr>
      </w:pPr>
      <w:r>
        <w:t>H</w:t>
      </w:r>
      <w:r w:rsidR="009A4683">
        <w:t>ow</w:t>
      </w:r>
      <w:r w:rsidR="007E3537">
        <w:t xml:space="preserve"> permissions</w:t>
      </w:r>
      <w:r w:rsidR="009A4683">
        <w:t xml:space="preserve"> or training (Human Subjects) training will be ensured</w:t>
      </w:r>
    </w:p>
    <w:p w14:paraId="6D80A38D" w14:textId="449B66BF" w:rsidR="00090ACE" w:rsidRDefault="00090ACE" w:rsidP="00D92A64">
      <w:pPr>
        <w:pStyle w:val="ListParagraph"/>
        <w:numPr>
          <w:ilvl w:val="0"/>
          <w:numId w:val="1"/>
        </w:numPr>
      </w:pPr>
      <w:r>
        <w:t xml:space="preserve">A </w:t>
      </w:r>
      <w:r w:rsidR="00731BAA">
        <w:t xml:space="preserve">brief description of how </w:t>
      </w:r>
      <w:r w:rsidR="00073311">
        <w:t xml:space="preserve">you will recruit or </w:t>
      </w:r>
      <w:r w:rsidR="00731BAA">
        <w:t xml:space="preserve">ensure the involvement </w:t>
      </w:r>
      <w:r w:rsidR="00395AFE">
        <w:t>of</w:t>
      </w:r>
      <w:r w:rsidR="007972C6">
        <w:t xml:space="preserve"> novice researchers (</w:t>
      </w:r>
      <w:r w:rsidR="00C2092D">
        <w:t>i.e.,</w:t>
      </w:r>
      <w:r w:rsidR="00395AFE">
        <w:t xml:space="preserve"> </w:t>
      </w:r>
      <w:r w:rsidR="000B26B2">
        <w:t>first</w:t>
      </w:r>
      <w:r w:rsidR="00646AD9">
        <w:t xml:space="preserve">- and </w:t>
      </w:r>
      <w:r w:rsidR="000B26B2">
        <w:t>second</w:t>
      </w:r>
      <w:r w:rsidR="00646AD9">
        <w:t>-</w:t>
      </w:r>
      <w:r w:rsidR="004F0D47">
        <w:t>year studen</w:t>
      </w:r>
      <w:r w:rsidR="000B26B2">
        <w:t>ts</w:t>
      </w:r>
      <w:r w:rsidR="007972C6">
        <w:t>)</w:t>
      </w:r>
      <w:r w:rsidR="00646AD9">
        <w:t xml:space="preserve"> </w:t>
      </w:r>
      <w:r w:rsidR="00395AFE">
        <w:t>OR</w:t>
      </w:r>
      <w:r w:rsidR="00646AD9">
        <w:t xml:space="preserve"> students from </w:t>
      </w:r>
      <w:r w:rsidR="007972C6">
        <w:t>groups underrepresented in the field (</w:t>
      </w:r>
      <w:r w:rsidR="00C2092D">
        <w:t>e.g.,</w:t>
      </w:r>
      <w:r w:rsidR="0010659C">
        <w:t xml:space="preserve"> women in STEM fields)</w:t>
      </w:r>
      <w:r w:rsidR="00731BAA">
        <w:t xml:space="preserve">. </w:t>
      </w:r>
      <w:r w:rsidR="00431772">
        <w:t xml:space="preserve">Not all students </w:t>
      </w:r>
      <w:r w:rsidR="00DD1BF9">
        <w:t xml:space="preserve">included </w:t>
      </w:r>
      <w:r w:rsidR="00431772">
        <w:t>in the C/URE initiat</w:t>
      </w:r>
      <w:r w:rsidR="00DD1BF9">
        <w:t xml:space="preserve">ive need to be from the targeted </w:t>
      </w:r>
      <w:r w:rsidR="000C7643">
        <w:t>populations,</w:t>
      </w:r>
      <w:r w:rsidR="00DD1BF9">
        <w:t xml:space="preserve"> but </w:t>
      </w:r>
      <w:r w:rsidR="00395AFE">
        <w:t xml:space="preserve">faculty should contemplate how best to </w:t>
      </w:r>
      <w:r w:rsidR="0010659C">
        <w:t xml:space="preserve">recruit and </w:t>
      </w:r>
      <w:r w:rsidR="008716E3">
        <w:t>facilitate inclusion of these students into the larger team, 1 page maximum</w:t>
      </w:r>
    </w:p>
    <w:p w14:paraId="6734AA85" w14:textId="3F927698" w:rsidR="00A70181" w:rsidRDefault="008716E3" w:rsidP="00D92A64">
      <w:pPr>
        <w:pStyle w:val="ListParagraph"/>
        <w:numPr>
          <w:ilvl w:val="0"/>
          <w:numId w:val="1"/>
        </w:numPr>
      </w:pPr>
      <w:r>
        <w:t xml:space="preserve">A </w:t>
      </w:r>
      <w:r w:rsidR="00A70181">
        <w:t xml:space="preserve">detailed </w:t>
      </w:r>
      <w:r>
        <w:t>budget and justification which explains how funds will be spent</w:t>
      </w:r>
      <w:r w:rsidR="003062D5">
        <w:t>:</w:t>
      </w:r>
    </w:p>
    <w:p w14:paraId="387F1515" w14:textId="77777777" w:rsidR="00A70181" w:rsidRDefault="00A70181" w:rsidP="00A70181">
      <w:pPr>
        <w:pStyle w:val="ListParagraph"/>
        <w:numPr>
          <w:ilvl w:val="1"/>
          <w:numId w:val="1"/>
        </w:numPr>
      </w:pPr>
      <w:r>
        <w:t>Undergraduate or graduate student hourly pay</w:t>
      </w:r>
    </w:p>
    <w:p w14:paraId="64B53B35" w14:textId="18BE199F" w:rsidR="00A70181" w:rsidRDefault="00C2092D" w:rsidP="00A70181">
      <w:pPr>
        <w:pStyle w:val="ListParagraph"/>
        <w:numPr>
          <w:ilvl w:val="1"/>
          <w:numId w:val="1"/>
        </w:numPr>
      </w:pPr>
      <w:r>
        <w:t>Graduate assistantship</w:t>
      </w:r>
    </w:p>
    <w:p w14:paraId="41DB28E0" w14:textId="33784B2F" w:rsidR="00646AD9" w:rsidRDefault="00A70181" w:rsidP="00A70181">
      <w:pPr>
        <w:pStyle w:val="ListParagraph"/>
        <w:numPr>
          <w:ilvl w:val="1"/>
          <w:numId w:val="1"/>
        </w:numPr>
      </w:pPr>
      <w:r>
        <w:t xml:space="preserve">Materials </w:t>
      </w:r>
    </w:p>
    <w:p w14:paraId="0F78E332" w14:textId="35788D0B" w:rsidR="00012748" w:rsidRDefault="00012748" w:rsidP="00A70181">
      <w:pPr>
        <w:pStyle w:val="ListParagraph"/>
        <w:numPr>
          <w:ilvl w:val="1"/>
          <w:numId w:val="1"/>
        </w:numPr>
      </w:pPr>
      <w:r>
        <w:t>Travel</w:t>
      </w:r>
    </w:p>
    <w:p w14:paraId="4EE284E1" w14:textId="082C2482" w:rsidR="00366F5B" w:rsidRDefault="00366F5B" w:rsidP="00366F5B">
      <w:pPr>
        <w:pStyle w:val="ListParagraph"/>
        <w:numPr>
          <w:ilvl w:val="0"/>
          <w:numId w:val="1"/>
        </w:numPr>
      </w:pPr>
      <w:r>
        <w:t>A 2-pag</w:t>
      </w:r>
      <w:r w:rsidR="00A45553">
        <w:t>e</w:t>
      </w:r>
      <w:r>
        <w:t xml:space="preserve"> CV</w:t>
      </w:r>
      <w:r w:rsidR="004A04D8">
        <w:t xml:space="preserve"> </w:t>
      </w:r>
    </w:p>
    <w:p w14:paraId="00AC9FC4" w14:textId="4EAE396C" w:rsidR="00073311" w:rsidRDefault="00073311" w:rsidP="00073311">
      <w:pPr>
        <w:pStyle w:val="ListParagraph"/>
        <w:numPr>
          <w:ilvl w:val="0"/>
          <w:numId w:val="1"/>
        </w:numPr>
      </w:pPr>
      <w:r>
        <w:t>An agreement to</w:t>
      </w:r>
      <w:r w:rsidR="00611787">
        <w:t xml:space="preserve"> participate in </w:t>
      </w:r>
      <w:r w:rsidR="004723F8">
        <w:t>in the assessment of the pro</w:t>
      </w:r>
      <w:r w:rsidR="003161B5">
        <w:t>ject via:</w:t>
      </w:r>
    </w:p>
    <w:p w14:paraId="4B1DA752" w14:textId="78F4928F" w:rsidR="003161B5" w:rsidRDefault="00BF6CFE" w:rsidP="006E3777">
      <w:pPr>
        <w:pStyle w:val="ListParagraph"/>
        <w:numPr>
          <w:ilvl w:val="1"/>
          <w:numId w:val="1"/>
        </w:numPr>
      </w:pPr>
      <w:r>
        <w:t xml:space="preserve">Surveys (we will contact involved students to request their  </w:t>
      </w:r>
      <w:r w:rsidR="006E3777">
        <w:t xml:space="preserve">participation in </w:t>
      </w:r>
      <w:r w:rsidR="003161B5">
        <w:t>the Research on Learning and Education (ROLE) Survey (</w:t>
      </w:r>
      <w:proofErr w:type="spellStart"/>
      <w:r w:rsidR="003161B5">
        <w:t>Lopatto</w:t>
      </w:r>
      <w:proofErr w:type="spellEnd"/>
      <w:r w:rsidR="003161B5">
        <w:t xml:space="preserve"> 2003) (See </w:t>
      </w:r>
      <w:hyperlink r:id="rId7" w:history="1">
        <w:r w:rsidR="003161B5" w:rsidRPr="00A26B74">
          <w:rPr>
            <w:rStyle w:val="Hyperlink"/>
          </w:rPr>
          <w:t>https://www.grinnell.edu/academics/centers-programs/ctla/assessment/role-survey</w:t>
        </w:r>
      </w:hyperlink>
      <w:r w:rsidR="003161B5">
        <w:t>).</w:t>
      </w:r>
    </w:p>
    <w:p w14:paraId="7E1A1ED4" w14:textId="3FD4145F" w:rsidR="003161B5" w:rsidRDefault="008B64BC" w:rsidP="003161B5">
      <w:pPr>
        <w:pStyle w:val="ListParagraph"/>
        <w:numPr>
          <w:ilvl w:val="1"/>
          <w:numId w:val="1"/>
        </w:numPr>
      </w:pPr>
      <w:r>
        <w:t>Sharing your experiences</w:t>
      </w:r>
      <w:r w:rsidR="006E3777">
        <w:t xml:space="preserve"> at a Center for Integrated Professional Development</w:t>
      </w:r>
      <w:r w:rsidR="00366F5B">
        <w:t xml:space="preserve"> panel session or</w:t>
      </w:r>
      <w:r>
        <w:t xml:space="preserve"> </w:t>
      </w:r>
      <w:r w:rsidR="00366F5B">
        <w:t>at the</w:t>
      </w:r>
      <w:r>
        <w:t xml:space="preserve"> January Teaching and Learning </w:t>
      </w:r>
      <w:r w:rsidR="00366F5B">
        <w:t>Symposium</w:t>
      </w:r>
    </w:p>
    <w:p w14:paraId="419E02DC" w14:textId="408C2976" w:rsidR="00012748" w:rsidRDefault="00DD6F80" w:rsidP="00DD6F80">
      <w:pPr>
        <w:pStyle w:val="Heading1"/>
      </w:pPr>
      <w:r>
        <w:lastRenderedPageBreak/>
        <w:t>Evaluation</w:t>
      </w:r>
    </w:p>
    <w:p w14:paraId="3C1F91AB" w14:textId="085B4B42" w:rsidR="00DD6F80" w:rsidRDefault="00DD6F80" w:rsidP="00DD6F80">
      <w:r>
        <w:t xml:space="preserve">Proposals will be evaluated </w:t>
      </w:r>
      <w:r w:rsidR="00AF0C77">
        <w:t>based on the following question:</w:t>
      </w:r>
    </w:p>
    <w:p w14:paraId="41EE9BB4" w14:textId="77777777" w:rsidR="00916BAE" w:rsidRDefault="00AF0C77" w:rsidP="00DD6F80">
      <w:pPr>
        <w:pStyle w:val="ListParagraph"/>
        <w:numPr>
          <w:ilvl w:val="0"/>
          <w:numId w:val="3"/>
        </w:numPr>
      </w:pPr>
      <w:r>
        <w:t xml:space="preserve">Does the proposed </w:t>
      </w:r>
      <w:r w:rsidR="00687789">
        <w:t>URE provide a new or expanded opportunity for student research at Illinois State?</w:t>
      </w:r>
    </w:p>
    <w:p w14:paraId="5BE7A646" w14:textId="45C6A2E5" w:rsidR="00AB443C" w:rsidRDefault="00AB443C" w:rsidP="00DD6F80">
      <w:pPr>
        <w:pStyle w:val="ListParagraph"/>
        <w:numPr>
          <w:ilvl w:val="0"/>
          <w:numId w:val="3"/>
        </w:numPr>
      </w:pPr>
      <w:r>
        <w:t xml:space="preserve">Does the proposed </w:t>
      </w:r>
      <w:r w:rsidR="003D2BB7">
        <w:t>project</w:t>
      </w:r>
      <w:r>
        <w:t xml:space="preserve"> go beyond research opportunities typically offered in the disciplines?</w:t>
      </w:r>
    </w:p>
    <w:p w14:paraId="11BCE88E" w14:textId="70F0BA8B" w:rsidR="00AB443C" w:rsidRDefault="00AB443C" w:rsidP="00DD6F80">
      <w:pPr>
        <w:pStyle w:val="ListParagraph"/>
        <w:numPr>
          <w:ilvl w:val="0"/>
          <w:numId w:val="3"/>
        </w:numPr>
      </w:pPr>
      <w:r>
        <w:t>Does the proposed</w:t>
      </w:r>
      <w:r w:rsidR="003D2BB7">
        <w:t xml:space="preserve"> URE include a reasonable plan for including </w:t>
      </w:r>
      <w:r w:rsidR="001005B4">
        <w:t>novice or underrepresented researchers among its participants</w:t>
      </w:r>
    </w:p>
    <w:p w14:paraId="215F9796" w14:textId="4B132333" w:rsidR="00687789" w:rsidRDefault="00687789" w:rsidP="00DD6F80">
      <w:pPr>
        <w:pStyle w:val="ListParagraph"/>
        <w:numPr>
          <w:ilvl w:val="0"/>
          <w:numId w:val="3"/>
        </w:numPr>
      </w:pPr>
      <w:r>
        <w:t xml:space="preserve">Is the project </w:t>
      </w:r>
      <w:r w:rsidR="00916BAE">
        <w:t>feasible</w:t>
      </w:r>
      <w:r w:rsidR="00366F5B">
        <w:t xml:space="preserve"> within the proposed time period</w:t>
      </w:r>
      <w:r w:rsidR="00DE779E">
        <w:t>?</w:t>
      </w:r>
    </w:p>
    <w:p w14:paraId="29EAC22B" w14:textId="72542B97" w:rsidR="00DE779E" w:rsidRDefault="001005B4" w:rsidP="00DD6F80">
      <w:pPr>
        <w:pStyle w:val="ListParagraph"/>
        <w:numPr>
          <w:ilvl w:val="0"/>
          <w:numId w:val="3"/>
        </w:numPr>
      </w:pPr>
      <w:r>
        <w:t xml:space="preserve">Is the budget clear, detailed, and </w:t>
      </w:r>
      <w:r w:rsidR="007E3537">
        <w:t>justified.</w:t>
      </w:r>
    </w:p>
    <w:p w14:paraId="00CCA7A3" w14:textId="7E007360" w:rsidR="004D5634" w:rsidRDefault="00A45553" w:rsidP="004D5634">
      <w:pPr>
        <w:pStyle w:val="Heading1"/>
      </w:pPr>
      <w:r>
        <w:t>Submissions</w:t>
      </w:r>
    </w:p>
    <w:p w14:paraId="7921329A" w14:textId="5870F750" w:rsidR="00A45553" w:rsidRDefault="00A45553" w:rsidP="00A45553">
      <w:r>
        <w:t xml:space="preserve">Submit all materials to Gina L Hunter via email, </w:t>
      </w:r>
      <w:hyperlink r:id="rId8" w:history="1">
        <w:r w:rsidR="00292E7D" w:rsidRPr="000A4BD6">
          <w:rPr>
            <w:rStyle w:val="Hyperlink"/>
          </w:rPr>
          <w:t>glhunt2@ilstu.edu</w:t>
        </w:r>
      </w:hyperlink>
    </w:p>
    <w:p w14:paraId="13D3C027" w14:textId="771BEA7C" w:rsidR="004D5634" w:rsidRDefault="004D5634" w:rsidP="00A45553">
      <w:r>
        <w:t xml:space="preserve">Notification of awards will be </w:t>
      </w:r>
      <w:r w:rsidR="00541A4A">
        <w:t>made in within two weeks of the deadline.</w:t>
      </w:r>
    </w:p>
    <w:p w14:paraId="63F27613" w14:textId="77777777" w:rsidR="00935A6B" w:rsidRPr="00B7428F" w:rsidRDefault="00935A6B" w:rsidP="00935A6B">
      <w:pPr>
        <w:pStyle w:val="Heading1"/>
      </w:pPr>
      <w:r w:rsidRPr="00B7428F">
        <w:t>References Cited</w:t>
      </w:r>
    </w:p>
    <w:p w14:paraId="67A8AC50" w14:textId="77777777" w:rsidR="00935A6B" w:rsidRPr="000A7373" w:rsidRDefault="00935A6B" w:rsidP="00935A6B">
      <w:pPr>
        <w:rPr>
          <w:rFonts w:cstheme="minorHAnsi"/>
        </w:rPr>
      </w:pPr>
      <w:r w:rsidRPr="000A7373">
        <w:t>Bhattacharyya P, and Chan CWM. Can Undergraduate Research Participation Reduce the Equity Gap</w:t>
      </w:r>
      <w:r w:rsidRPr="000A7373">
        <w:rPr>
          <w:i/>
          <w:iCs/>
        </w:rPr>
        <w:t xml:space="preserve">? J </w:t>
      </w:r>
      <w:proofErr w:type="spellStart"/>
      <w:r w:rsidRPr="000A7373">
        <w:rPr>
          <w:rFonts w:cstheme="minorHAnsi"/>
          <w:i/>
          <w:iCs/>
        </w:rPr>
        <w:t>SoTL</w:t>
      </w:r>
      <w:proofErr w:type="spellEnd"/>
      <w:r w:rsidRPr="000A7373">
        <w:rPr>
          <w:rFonts w:cstheme="minorHAnsi"/>
        </w:rPr>
        <w:t xml:space="preserve">. 2021 Apr; 21 (1): 287-300. </w:t>
      </w:r>
    </w:p>
    <w:p w14:paraId="4CE76B1A" w14:textId="77777777" w:rsidR="00935A6B" w:rsidRPr="000A7373" w:rsidRDefault="00935A6B" w:rsidP="00935A6B">
      <w:pPr>
        <w:rPr>
          <w:rFonts w:cstheme="minorHAnsi"/>
          <w:color w:val="212121"/>
          <w:shd w:val="clear" w:color="auto" w:fill="FFFFFF"/>
        </w:rPr>
      </w:pPr>
      <w:proofErr w:type="spellStart"/>
      <w:r w:rsidRPr="000A7373">
        <w:rPr>
          <w:rFonts w:cstheme="minorHAnsi"/>
          <w:color w:val="212121"/>
          <w:shd w:val="clear" w:color="auto" w:fill="FFFFFF"/>
        </w:rPr>
        <w:t>Buffalari</w:t>
      </w:r>
      <w:proofErr w:type="spellEnd"/>
      <w:r w:rsidRPr="000A7373">
        <w:rPr>
          <w:rFonts w:cstheme="minorHAnsi"/>
          <w:color w:val="212121"/>
          <w:shd w:val="clear" w:color="auto" w:fill="FFFFFF"/>
        </w:rPr>
        <w:t xml:space="preserve"> D, Fernandes JJ, Chase L, Lom B, McMurray MS, Morrison ME, </w:t>
      </w:r>
      <w:proofErr w:type="spellStart"/>
      <w:r w:rsidRPr="000A7373">
        <w:rPr>
          <w:rFonts w:cstheme="minorHAnsi"/>
          <w:color w:val="212121"/>
          <w:shd w:val="clear" w:color="auto" w:fill="FFFFFF"/>
        </w:rPr>
        <w:t>Stavnezer</w:t>
      </w:r>
      <w:proofErr w:type="spellEnd"/>
      <w:r w:rsidRPr="000A7373">
        <w:rPr>
          <w:rFonts w:cstheme="minorHAnsi"/>
          <w:color w:val="212121"/>
          <w:shd w:val="clear" w:color="auto" w:fill="FFFFFF"/>
        </w:rPr>
        <w:t xml:space="preserve"> AJ. Integrating Research into the Undergraduate Curriculum: 1. Early Research Experiences and Training. </w:t>
      </w:r>
      <w:r w:rsidRPr="000A7373">
        <w:rPr>
          <w:rFonts w:cstheme="minorHAnsi"/>
          <w:i/>
          <w:iCs/>
          <w:color w:val="212121"/>
          <w:shd w:val="clear" w:color="auto" w:fill="FFFFFF"/>
        </w:rPr>
        <w:t xml:space="preserve">J Undergrad </w:t>
      </w:r>
      <w:proofErr w:type="spellStart"/>
      <w:r w:rsidRPr="000A7373">
        <w:rPr>
          <w:rFonts w:cstheme="minorHAnsi"/>
          <w:i/>
          <w:iCs/>
          <w:color w:val="212121"/>
          <w:shd w:val="clear" w:color="auto" w:fill="FFFFFF"/>
        </w:rPr>
        <w:t>Neurosci</w:t>
      </w:r>
      <w:proofErr w:type="spellEnd"/>
      <w:r w:rsidRPr="000A7373">
        <w:rPr>
          <w:rFonts w:cstheme="minorHAnsi"/>
          <w:i/>
          <w:iCs/>
          <w:color w:val="212121"/>
          <w:shd w:val="clear" w:color="auto" w:fill="FFFFFF"/>
        </w:rPr>
        <w:t xml:space="preserve"> Educ</w:t>
      </w:r>
      <w:r w:rsidRPr="000A7373">
        <w:rPr>
          <w:rFonts w:cstheme="minorHAnsi"/>
          <w:color w:val="212121"/>
          <w:shd w:val="clear" w:color="auto" w:fill="FFFFFF"/>
        </w:rPr>
        <w:t>. 2020 Dec 31;19(1): A52-A63.</w:t>
      </w:r>
    </w:p>
    <w:p w14:paraId="6504AFD1" w14:textId="77777777" w:rsidR="00935A6B" w:rsidRPr="000A7373" w:rsidRDefault="00935A6B" w:rsidP="00935A6B">
      <w:pPr>
        <w:rPr>
          <w:rFonts w:cstheme="minorHAnsi"/>
          <w:color w:val="212121"/>
          <w:shd w:val="clear" w:color="auto" w:fill="FFFFFF"/>
        </w:rPr>
      </w:pPr>
      <w:r w:rsidRPr="000A7373">
        <w:rPr>
          <w:rFonts w:cstheme="minorHAnsi"/>
          <w:color w:val="212121"/>
          <w:shd w:val="clear" w:color="auto" w:fill="FFFFFF"/>
        </w:rPr>
        <w:t>Chan CWM, Bhattacharyya P, Meisel S. A model for successful cross-campus collaboration for engaging potentially at-risk students in mentored undergraduate research early in their college career. </w:t>
      </w:r>
      <w:r w:rsidRPr="000A7373">
        <w:rPr>
          <w:rStyle w:val="ref-journal"/>
          <w:rFonts w:cstheme="minorHAnsi"/>
          <w:i/>
          <w:iCs/>
          <w:color w:val="212121"/>
          <w:shd w:val="clear" w:color="auto" w:fill="FFFFFF"/>
        </w:rPr>
        <w:t xml:space="preserve">Scholar </w:t>
      </w:r>
      <w:proofErr w:type="spellStart"/>
      <w:r w:rsidRPr="000A7373">
        <w:rPr>
          <w:rStyle w:val="ref-journal"/>
          <w:rFonts w:cstheme="minorHAnsi"/>
          <w:i/>
          <w:iCs/>
          <w:color w:val="212121"/>
          <w:shd w:val="clear" w:color="auto" w:fill="FFFFFF"/>
        </w:rPr>
        <w:t>Pract</w:t>
      </w:r>
      <w:proofErr w:type="spellEnd"/>
      <w:r w:rsidRPr="000A7373">
        <w:rPr>
          <w:rStyle w:val="ref-journal"/>
          <w:rFonts w:cstheme="minorHAnsi"/>
          <w:i/>
          <w:iCs/>
          <w:color w:val="212121"/>
          <w:shd w:val="clear" w:color="auto" w:fill="FFFFFF"/>
        </w:rPr>
        <w:t xml:space="preserve"> Undergrad Res. </w:t>
      </w:r>
      <w:r w:rsidRPr="000A7373">
        <w:rPr>
          <w:rFonts w:cstheme="minorHAnsi"/>
          <w:color w:val="212121"/>
          <w:shd w:val="clear" w:color="auto" w:fill="FFFFFF"/>
        </w:rPr>
        <w:t>2018;</w:t>
      </w:r>
      <w:r w:rsidRPr="000A7373">
        <w:rPr>
          <w:rStyle w:val="ref-vol"/>
          <w:rFonts w:cstheme="minorHAnsi"/>
          <w:color w:val="212121"/>
          <w:shd w:val="clear" w:color="auto" w:fill="FFFFFF"/>
        </w:rPr>
        <w:t>1</w:t>
      </w:r>
      <w:r w:rsidRPr="000A7373">
        <w:rPr>
          <w:rFonts w:cstheme="minorHAnsi"/>
          <w:color w:val="212121"/>
          <w:shd w:val="clear" w:color="auto" w:fill="FFFFFF"/>
        </w:rPr>
        <w:t xml:space="preserve">(3):48–56. </w:t>
      </w:r>
    </w:p>
    <w:p w14:paraId="1035AA12" w14:textId="5DACAE6D" w:rsidR="006915BB" w:rsidRPr="000A7373" w:rsidRDefault="006915BB" w:rsidP="00935A6B">
      <w:pPr>
        <w:rPr>
          <w:rFonts w:cstheme="minorHAnsi"/>
          <w:color w:val="303030"/>
          <w:shd w:val="clear" w:color="auto" w:fill="FFFFFF"/>
        </w:rPr>
      </w:pPr>
      <w:r w:rsidRPr="000A7373">
        <w:rPr>
          <w:rFonts w:cstheme="minorHAnsi"/>
          <w:color w:val="333333"/>
          <w:shd w:val="clear" w:color="auto" w:fill="FFFFFF"/>
        </w:rPr>
        <w:t>Hensel, N. H. 2018. </w:t>
      </w:r>
      <w:r w:rsidRPr="000A7373">
        <w:rPr>
          <w:rFonts w:cstheme="minorHAnsi"/>
          <w:i/>
          <w:iCs/>
          <w:color w:val="333333"/>
          <w:shd w:val="clear" w:color="auto" w:fill="FFFFFF"/>
        </w:rPr>
        <w:t xml:space="preserve">Course-based undergraduate research: </w:t>
      </w:r>
      <w:proofErr w:type="gramStart"/>
      <w:r w:rsidRPr="000A7373">
        <w:rPr>
          <w:rFonts w:cstheme="minorHAnsi"/>
          <w:i/>
          <w:iCs/>
          <w:color w:val="333333"/>
          <w:shd w:val="clear" w:color="auto" w:fill="FFFFFF"/>
        </w:rPr>
        <w:t>Educational</w:t>
      </w:r>
      <w:proofErr w:type="gramEnd"/>
      <w:r w:rsidRPr="000A7373">
        <w:rPr>
          <w:rFonts w:cstheme="minorHAnsi"/>
          <w:i/>
          <w:iCs/>
          <w:color w:val="333333"/>
          <w:shd w:val="clear" w:color="auto" w:fill="FFFFFF"/>
        </w:rPr>
        <w:t xml:space="preserve"> equity and high-impact practice. </w:t>
      </w:r>
      <w:r w:rsidRPr="000A7373">
        <w:rPr>
          <w:rFonts w:cstheme="minorHAnsi"/>
          <w:color w:val="333333"/>
          <w:shd w:val="clear" w:color="auto" w:fill="FFFFFF"/>
        </w:rPr>
        <w:t>Stylus</w:t>
      </w:r>
      <w:r w:rsidRPr="000A7373">
        <w:rPr>
          <w:rFonts w:cstheme="minorHAnsi"/>
          <w:color w:val="333333"/>
          <w:shd w:val="clear" w:color="auto" w:fill="FFFFFF"/>
        </w:rPr>
        <w:t xml:space="preserve"> </w:t>
      </w:r>
      <w:r w:rsidRPr="000A7373">
        <w:rPr>
          <w:rFonts w:cstheme="minorHAnsi"/>
          <w:color w:val="333333"/>
          <w:shd w:val="clear" w:color="auto" w:fill="FFFFFF"/>
        </w:rPr>
        <w:t>Publishing. </w:t>
      </w:r>
      <w:hyperlink r:id="rId9" w:tgtFrame="_blank" w:history="1">
        <w:r w:rsidRPr="000A7373">
          <w:rPr>
            <w:rStyle w:val="Hyperlink"/>
            <w:rFonts w:cstheme="minorHAnsi"/>
            <w:color w:val="2954D1"/>
            <w:shd w:val="clear" w:color="auto" w:fill="FFFFFF"/>
          </w:rPr>
          <w:t>https://xavier.idm.oclc.org/login?url=https://search.ebscohost.com/login.aspx?direct=true&amp;db=e000xna&amp;AN=1865366&amp;site=eds-live&amp;scope=site</w:t>
        </w:r>
      </w:hyperlink>
    </w:p>
    <w:p w14:paraId="7FD9C9ED" w14:textId="4B9E3A76" w:rsidR="00935A6B" w:rsidRPr="000A7373" w:rsidRDefault="00935A6B" w:rsidP="00935A6B">
      <w:pPr>
        <w:rPr>
          <w:rFonts w:cstheme="minorHAnsi"/>
          <w:color w:val="212121"/>
          <w:shd w:val="clear" w:color="auto" w:fill="FFFFFF"/>
        </w:rPr>
      </w:pPr>
      <w:r w:rsidRPr="000A7373">
        <w:rPr>
          <w:rFonts w:cstheme="minorHAnsi"/>
          <w:color w:val="303030"/>
          <w:shd w:val="clear" w:color="auto" w:fill="FFFFFF"/>
        </w:rPr>
        <w:t>Hurtado S, Cabrera NL, Lin MH, Arellano L, Espinosa LL. Diversifying science: underrepresented student experiences in structured research programs. </w:t>
      </w:r>
      <w:r w:rsidRPr="000A7373">
        <w:rPr>
          <w:rStyle w:val="ref-journal"/>
          <w:rFonts w:cstheme="minorHAnsi"/>
          <w:i/>
          <w:iCs/>
          <w:color w:val="303030"/>
          <w:shd w:val="clear" w:color="auto" w:fill="FFFFFF"/>
        </w:rPr>
        <w:t>Res High Educ. </w:t>
      </w:r>
      <w:r w:rsidRPr="000A7373">
        <w:rPr>
          <w:rFonts w:cstheme="minorHAnsi"/>
          <w:color w:val="303030"/>
          <w:shd w:val="clear" w:color="auto" w:fill="FFFFFF"/>
        </w:rPr>
        <w:t>2009;</w:t>
      </w:r>
      <w:r w:rsidRPr="000A7373">
        <w:rPr>
          <w:rStyle w:val="ref-vol"/>
          <w:rFonts w:cstheme="minorHAnsi"/>
          <w:color w:val="303030"/>
          <w:shd w:val="clear" w:color="auto" w:fill="FFFFFF"/>
        </w:rPr>
        <w:t xml:space="preserve"> 50:189</w:t>
      </w:r>
      <w:r w:rsidRPr="000A7373">
        <w:rPr>
          <w:rFonts w:cstheme="minorHAnsi"/>
          <w:color w:val="303030"/>
          <w:shd w:val="clear" w:color="auto" w:fill="FFFFFF"/>
        </w:rPr>
        <w:t>–214.</w:t>
      </w:r>
    </w:p>
    <w:p w14:paraId="6124839B" w14:textId="77777777" w:rsidR="00935A6B" w:rsidRPr="000A7373" w:rsidRDefault="00935A6B" w:rsidP="00935A6B">
      <w:pPr>
        <w:rPr>
          <w:rFonts w:cstheme="minorHAnsi"/>
          <w:color w:val="303030"/>
          <w:shd w:val="clear" w:color="auto" w:fill="FFFFFF"/>
        </w:rPr>
      </w:pPr>
      <w:proofErr w:type="spellStart"/>
      <w:r w:rsidRPr="000A7373">
        <w:rPr>
          <w:rFonts w:cstheme="minorHAnsi"/>
          <w:color w:val="303030"/>
          <w:shd w:val="clear" w:color="auto" w:fill="FFFFFF"/>
        </w:rPr>
        <w:t>Kuh</w:t>
      </w:r>
      <w:proofErr w:type="spellEnd"/>
      <w:r w:rsidRPr="000A7373">
        <w:rPr>
          <w:rFonts w:cstheme="minorHAnsi"/>
          <w:color w:val="303030"/>
          <w:shd w:val="clear" w:color="auto" w:fill="FFFFFF"/>
        </w:rPr>
        <w:t xml:space="preserve"> GD. </w:t>
      </w:r>
      <w:r w:rsidRPr="000A7373">
        <w:rPr>
          <w:rStyle w:val="ref-journal"/>
          <w:rFonts w:cstheme="minorHAnsi"/>
          <w:i/>
          <w:iCs/>
          <w:color w:val="303030"/>
          <w:shd w:val="clear" w:color="auto" w:fill="FFFFFF"/>
        </w:rPr>
        <w:t>High-impact educational practices: what they are, who has access to them, and why they matter.</w:t>
      </w:r>
      <w:r w:rsidRPr="000A7373">
        <w:rPr>
          <w:rFonts w:cstheme="minorHAnsi"/>
          <w:color w:val="303030"/>
          <w:shd w:val="clear" w:color="auto" w:fill="FFFFFF"/>
        </w:rPr>
        <w:t> Washington, DC: Association of American College and Universities.; 2008.</w:t>
      </w:r>
    </w:p>
    <w:p w14:paraId="50D9AA8C" w14:textId="77777777" w:rsidR="00935A6B" w:rsidRPr="000A7373" w:rsidRDefault="00935A6B" w:rsidP="00935A6B">
      <w:pPr>
        <w:rPr>
          <w:rFonts w:cstheme="minorHAnsi"/>
          <w:color w:val="303030"/>
          <w:shd w:val="clear" w:color="auto" w:fill="FFFFFF"/>
        </w:rPr>
      </w:pPr>
      <w:proofErr w:type="spellStart"/>
      <w:r w:rsidRPr="000A7373">
        <w:rPr>
          <w:rFonts w:cstheme="minorHAnsi"/>
          <w:color w:val="1B1B1B"/>
          <w:shd w:val="clear" w:color="auto" w:fill="FFFFFF"/>
        </w:rPr>
        <w:t>Lopatto</w:t>
      </w:r>
      <w:proofErr w:type="spellEnd"/>
      <w:r w:rsidRPr="000A7373">
        <w:rPr>
          <w:rFonts w:cstheme="minorHAnsi"/>
          <w:color w:val="1B1B1B"/>
          <w:shd w:val="clear" w:color="auto" w:fill="FFFFFF"/>
        </w:rPr>
        <w:t xml:space="preserve"> D. 2010. Undergraduate Research as a High-Impact Student Experience. </w:t>
      </w:r>
      <w:r w:rsidRPr="000A7373">
        <w:rPr>
          <w:rStyle w:val="Emphasis"/>
          <w:rFonts w:cstheme="minorHAnsi"/>
          <w:color w:val="1B1B1B"/>
          <w:shd w:val="clear" w:color="auto" w:fill="FFFFFF"/>
        </w:rPr>
        <w:t>Peer Review</w:t>
      </w:r>
      <w:r w:rsidRPr="000A7373">
        <w:rPr>
          <w:rFonts w:cstheme="minorHAnsi"/>
          <w:color w:val="1B1B1B"/>
          <w:shd w:val="clear" w:color="auto" w:fill="FFFFFF"/>
        </w:rPr>
        <w:t> 12 (2): 27–30.</w:t>
      </w:r>
    </w:p>
    <w:p w14:paraId="4970A383" w14:textId="77777777" w:rsidR="00935A6B" w:rsidRPr="000A7373" w:rsidRDefault="00935A6B" w:rsidP="00935A6B">
      <w:pPr>
        <w:rPr>
          <w:rFonts w:cstheme="minorHAnsi"/>
        </w:rPr>
      </w:pPr>
      <w:proofErr w:type="spellStart"/>
      <w:r w:rsidRPr="000A7373">
        <w:rPr>
          <w:rFonts w:cstheme="minorHAnsi"/>
          <w:color w:val="303030"/>
          <w:shd w:val="clear" w:color="auto" w:fill="FFFFFF"/>
        </w:rPr>
        <w:t>Thiry</w:t>
      </w:r>
      <w:proofErr w:type="spellEnd"/>
      <w:r w:rsidRPr="000A7373">
        <w:rPr>
          <w:rFonts w:cstheme="minorHAnsi"/>
          <w:color w:val="303030"/>
          <w:shd w:val="clear" w:color="auto" w:fill="FFFFFF"/>
        </w:rPr>
        <w:t xml:space="preserve"> H, Weston TJ, </w:t>
      </w:r>
      <w:proofErr w:type="spellStart"/>
      <w:r w:rsidRPr="000A7373">
        <w:rPr>
          <w:rFonts w:cstheme="minorHAnsi"/>
          <w:color w:val="303030"/>
          <w:shd w:val="clear" w:color="auto" w:fill="FFFFFF"/>
        </w:rPr>
        <w:t>Laursen</w:t>
      </w:r>
      <w:proofErr w:type="spellEnd"/>
      <w:r w:rsidRPr="000A7373">
        <w:rPr>
          <w:rFonts w:cstheme="minorHAnsi"/>
          <w:color w:val="303030"/>
          <w:shd w:val="clear" w:color="auto" w:fill="FFFFFF"/>
        </w:rPr>
        <w:t xml:space="preserve"> SL, Hunter A-B. The benefits of multi-year research experiences: differences in novice and experienced students’ reported gains from undergraduate research. </w:t>
      </w:r>
      <w:r w:rsidRPr="000A7373">
        <w:rPr>
          <w:rStyle w:val="ref-journal"/>
          <w:rFonts w:cstheme="minorHAnsi"/>
          <w:i/>
          <w:iCs/>
          <w:color w:val="303030"/>
          <w:shd w:val="clear" w:color="auto" w:fill="FFFFFF"/>
        </w:rPr>
        <w:t>CBE--Life Sci Edu. </w:t>
      </w:r>
      <w:r w:rsidRPr="000A7373">
        <w:rPr>
          <w:rFonts w:cstheme="minorHAnsi"/>
          <w:color w:val="303030"/>
          <w:shd w:val="clear" w:color="auto" w:fill="FFFFFF"/>
        </w:rPr>
        <w:t>2012;</w:t>
      </w:r>
      <w:r w:rsidRPr="000A7373">
        <w:rPr>
          <w:rStyle w:val="ref-vol"/>
          <w:rFonts w:cstheme="minorHAnsi"/>
          <w:color w:val="303030"/>
          <w:shd w:val="clear" w:color="auto" w:fill="FFFFFF"/>
        </w:rPr>
        <w:t xml:space="preserve"> 11:260</w:t>
      </w:r>
      <w:r w:rsidRPr="000A7373">
        <w:rPr>
          <w:rFonts w:cstheme="minorHAnsi"/>
          <w:color w:val="303030"/>
          <w:shd w:val="clear" w:color="auto" w:fill="FFFFFF"/>
        </w:rPr>
        <w:t>–72.</w:t>
      </w:r>
    </w:p>
    <w:p w14:paraId="26511E68" w14:textId="1098A1F8" w:rsidR="00DC5E28" w:rsidRPr="000A7373" w:rsidRDefault="00DC5E28"/>
    <w:sectPr w:rsidR="00DC5E28" w:rsidRPr="000A7373" w:rsidSect="000A737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E3C44"/>
    <w:multiLevelType w:val="hybridMultilevel"/>
    <w:tmpl w:val="A2F28C02"/>
    <w:lvl w:ilvl="0" w:tplc="5F54A594">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41C84FAD"/>
    <w:multiLevelType w:val="hybridMultilevel"/>
    <w:tmpl w:val="63845D30"/>
    <w:lvl w:ilvl="0" w:tplc="030097A0">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067E23"/>
    <w:multiLevelType w:val="hybridMultilevel"/>
    <w:tmpl w:val="CF7ED2C6"/>
    <w:lvl w:ilvl="0" w:tplc="5F54A594">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95359">
    <w:abstractNumId w:val="1"/>
  </w:num>
  <w:num w:numId="2" w16cid:durableId="1179151167">
    <w:abstractNumId w:val="0"/>
  </w:num>
  <w:num w:numId="3" w16cid:durableId="782380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28"/>
    <w:rsid w:val="0000489D"/>
    <w:rsid w:val="00012748"/>
    <w:rsid w:val="00026821"/>
    <w:rsid w:val="00031908"/>
    <w:rsid w:val="00073311"/>
    <w:rsid w:val="000902C3"/>
    <w:rsid w:val="00090ACE"/>
    <w:rsid w:val="0009463B"/>
    <w:rsid w:val="000A7373"/>
    <w:rsid w:val="000B249F"/>
    <w:rsid w:val="000B26B2"/>
    <w:rsid w:val="000C7643"/>
    <w:rsid w:val="000E5CFF"/>
    <w:rsid w:val="001005B4"/>
    <w:rsid w:val="0010659C"/>
    <w:rsid w:val="001F24D3"/>
    <w:rsid w:val="0022577E"/>
    <w:rsid w:val="00264D6A"/>
    <w:rsid w:val="00292E7D"/>
    <w:rsid w:val="002C15AF"/>
    <w:rsid w:val="002D7D60"/>
    <w:rsid w:val="003062D5"/>
    <w:rsid w:val="00315D21"/>
    <w:rsid w:val="003161B5"/>
    <w:rsid w:val="00320706"/>
    <w:rsid w:val="00366F5B"/>
    <w:rsid w:val="00395AFE"/>
    <w:rsid w:val="003D2BB7"/>
    <w:rsid w:val="00404194"/>
    <w:rsid w:val="00431772"/>
    <w:rsid w:val="004723F8"/>
    <w:rsid w:val="00474E53"/>
    <w:rsid w:val="00493B02"/>
    <w:rsid w:val="004A04D8"/>
    <w:rsid w:val="004D40BB"/>
    <w:rsid w:val="004D520C"/>
    <w:rsid w:val="004D5634"/>
    <w:rsid w:val="004E26FD"/>
    <w:rsid w:val="004F0D47"/>
    <w:rsid w:val="00541A4A"/>
    <w:rsid w:val="005806E9"/>
    <w:rsid w:val="005835C2"/>
    <w:rsid w:val="005C60D3"/>
    <w:rsid w:val="00607B3E"/>
    <w:rsid w:val="00611787"/>
    <w:rsid w:val="0061727D"/>
    <w:rsid w:val="00623CD7"/>
    <w:rsid w:val="00646AD9"/>
    <w:rsid w:val="00650E84"/>
    <w:rsid w:val="00675776"/>
    <w:rsid w:val="00687789"/>
    <w:rsid w:val="006915BB"/>
    <w:rsid w:val="00691AFC"/>
    <w:rsid w:val="006A6B01"/>
    <w:rsid w:val="006C3B22"/>
    <w:rsid w:val="006E23E5"/>
    <w:rsid w:val="006E3777"/>
    <w:rsid w:val="006F3ACC"/>
    <w:rsid w:val="00731BAA"/>
    <w:rsid w:val="0075142E"/>
    <w:rsid w:val="007972C6"/>
    <w:rsid w:val="007A4A78"/>
    <w:rsid w:val="007D1F77"/>
    <w:rsid w:val="007E3537"/>
    <w:rsid w:val="008716E3"/>
    <w:rsid w:val="0089058F"/>
    <w:rsid w:val="008B64BC"/>
    <w:rsid w:val="008F5122"/>
    <w:rsid w:val="00916BAE"/>
    <w:rsid w:val="00935A6B"/>
    <w:rsid w:val="00990F3E"/>
    <w:rsid w:val="009A09AA"/>
    <w:rsid w:val="009A410A"/>
    <w:rsid w:val="009A4683"/>
    <w:rsid w:val="009B7FB6"/>
    <w:rsid w:val="009E03D0"/>
    <w:rsid w:val="00A45553"/>
    <w:rsid w:val="00A66708"/>
    <w:rsid w:val="00A70181"/>
    <w:rsid w:val="00A958CC"/>
    <w:rsid w:val="00AA7BCA"/>
    <w:rsid w:val="00AB443C"/>
    <w:rsid w:val="00AC388A"/>
    <w:rsid w:val="00AD4D57"/>
    <w:rsid w:val="00AF0C77"/>
    <w:rsid w:val="00AF29C6"/>
    <w:rsid w:val="00B07581"/>
    <w:rsid w:val="00B7627D"/>
    <w:rsid w:val="00BD114B"/>
    <w:rsid w:val="00BF69A3"/>
    <w:rsid w:val="00BF6CFE"/>
    <w:rsid w:val="00C05538"/>
    <w:rsid w:val="00C2092D"/>
    <w:rsid w:val="00C35246"/>
    <w:rsid w:val="00C379B8"/>
    <w:rsid w:val="00C47A11"/>
    <w:rsid w:val="00C57D97"/>
    <w:rsid w:val="00C7471E"/>
    <w:rsid w:val="00C9498E"/>
    <w:rsid w:val="00CD19F2"/>
    <w:rsid w:val="00D21F59"/>
    <w:rsid w:val="00D8353C"/>
    <w:rsid w:val="00D92A64"/>
    <w:rsid w:val="00DC5E28"/>
    <w:rsid w:val="00DD1BF9"/>
    <w:rsid w:val="00DD6F80"/>
    <w:rsid w:val="00DE779E"/>
    <w:rsid w:val="00E62D8A"/>
    <w:rsid w:val="00F17E70"/>
    <w:rsid w:val="00F61EB2"/>
    <w:rsid w:val="00F9059D"/>
    <w:rsid w:val="00F92252"/>
    <w:rsid w:val="00FA55DE"/>
    <w:rsid w:val="00FF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CE55"/>
  <w15:chartTrackingRefBased/>
  <w15:docId w15:val="{39C9874E-DB58-4179-BAA3-816DFBED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821"/>
  </w:style>
  <w:style w:type="paragraph" w:styleId="Heading1">
    <w:name w:val="heading 1"/>
    <w:basedOn w:val="Normal"/>
    <w:next w:val="Normal"/>
    <w:link w:val="Heading1Char"/>
    <w:uiPriority w:val="9"/>
    <w:qFormat/>
    <w:rsid w:val="00A667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55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
    <w:name w:val="Syllabus"/>
    <w:basedOn w:val="Title"/>
    <w:autoRedefine/>
    <w:qFormat/>
    <w:rsid w:val="00026821"/>
    <w:pPr>
      <w:jc w:val="center"/>
    </w:pPr>
    <w:rPr>
      <w:b/>
      <w:sz w:val="32"/>
    </w:rPr>
  </w:style>
  <w:style w:type="paragraph" w:styleId="Title">
    <w:name w:val="Title"/>
    <w:basedOn w:val="Normal"/>
    <w:next w:val="Normal"/>
    <w:link w:val="TitleChar"/>
    <w:uiPriority w:val="10"/>
    <w:qFormat/>
    <w:rsid w:val="000268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682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66708"/>
    <w:pPr>
      <w:ind w:left="720"/>
      <w:contextualSpacing/>
    </w:pPr>
  </w:style>
  <w:style w:type="character" w:customStyle="1" w:styleId="Heading1Char">
    <w:name w:val="Heading 1 Char"/>
    <w:basedOn w:val="DefaultParagraphFont"/>
    <w:link w:val="Heading1"/>
    <w:uiPriority w:val="9"/>
    <w:rsid w:val="00A6670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C7471E"/>
    <w:pPr>
      <w:spacing w:after="0" w:line="240" w:lineRule="auto"/>
    </w:pPr>
  </w:style>
  <w:style w:type="character" w:styleId="Hyperlink">
    <w:name w:val="Hyperlink"/>
    <w:basedOn w:val="DefaultParagraphFont"/>
    <w:uiPriority w:val="99"/>
    <w:unhideWhenUsed/>
    <w:rsid w:val="00D21F59"/>
    <w:rPr>
      <w:color w:val="0563C1" w:themeColor="hyperlink"/>
      <w:u w:val="single"/>
    </w:rPr>
  </w:style>
  <w:style w:type="character" w:styleId="UnresolvedMention">
    <w:name w:val="Unresolved Mention"/>
    <w:basedOn w:val="DefaultParagraphFont"/>
    <w:uiPriority w:val="99"/>
    <w:semiHidden/>
    <w:unhideWhenUsed/>
    <w:rsid w:val="00D21F59"/>
    <w:rPr>
      <w:color w:val="605E5C"/>
      <w:shd w:val="clear" w:color="auto" w:fill="E1DFDD"/>
    </w:rPr>
  </w:style>
  <w:style w:type="character" w:customStyle="1" w:styleId="ref-journal">
    <w:name w:val="ref-journal"/>
    <w:basedOn w:val="DefaultParagraphFont"/>
    <w:rsid w:val="00935A6B"/>
  </w:style>
  <w:style w:type="character" w:customStyle="1" w:styleId="ref-vol">
    <w:name w:val="ref-vol"/>
    <w:basedOn w:val="DefaultParagraphFont"/>
    <w:rsid w:val="00935A6B"/>
  </w:style>
  <w:style w:type="character" w:styleId="Emphasis">
    <w:name w:val="Emphasis"/>
    <w:basedOn w:val="DefaultParagraphFont"/>
    <w:uiPriority w:val="20"/>
    <w:qFormat/>
    <w:rsid w:val="00935A6B"/>
    <w:rPr>
      <w:i/>
      <w:iCs/>
    </w:rPr>
  </w:style>
  <w:style w:type="paragraph" w:styleId="Subtitle">
    <w:name w:val="Subtitle"/>
    <w:basedOn w:val="Normal"/>
    <w:next w:val="Normal"/>
    <w:link w:val="SubtitleChar"/>
    <w:uiPriority w:val="11"/>
    <w:qFormat/>
    <w:rsid w:val="00A4555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45553"/>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A455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hunt2@ilstu.edu" TargetMode="External"/><Relationship Id="rId3" Type="http://schemas.openxmlformats.org/officeDocument/2006/relationships/settings" Target="settings.xml"/><Relationship Id="rId7" Type="http://schemas.openxmlformats.org/officeDocument/2006/relationships/hyperlink" Target="https://www.grinnell.edu/academics/centers-programs/ctla/assessment/role-surv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c.carleton.edu/curenet/index.html" TargetMode="External"/><Relationship Id="rId11" Type="http://schemas.openxmlformats.org/officeDocument/2006/relationships/theme" Target="theme/theme1.xml"/><Relationship Id="rId5" Type="http://schemas.openxmlformats.org/officeDocument/2006/relationships/hyperlink" Target="CUREs:%20Bringing%20Research%20into%20the%20Classro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xavier.idm.oclc.org/login?url=https://search.ebscohost.com/login.aspx?direct=true&amp;db=e000xna&amp;AN=1865366&amp;site=eds-live&amp;scope=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Gina</dc:creator>
  <cp:keywords/>
  <dc:description/>
  <cp:lastModifiedBy>Hunter, Gina</cp:lastModifiedBy>
  <cp:revision>17</cp:revision>
  <dcterms:created xsi:type="dcterms:W3CDTF">2023-09-26T15:08:00Z</dcterms:created>
  <dcterms:modified xsi:type="dcterms:W3CDTF">2023-09-26T15:26:00Z</dcterms:modified>
</cp:coreProperties>
</file>